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D0A12" w14:textId="77777777" w:rsidR="00B05417" w:rsidRPr="00B05417" w:rsidRDefault="00B05417" w:rsidP="00B05417">
      <w:r w:rsidRPr="00B05417">
        <w:t>Research Article</w:t>
      </w:r>
    </w:p>
    <w:p w14:paraId="601845C1" w14:textId="1F0E2940" w:rsidR="00B05417" w:rsidRDefault="00B05417" w:rsidP="00B05417">
      <w:pPr>
        <w:rPr>
          <w:b/>
          <w:bCs/>
        </w:rPr>
      </w:pPr>
      <w:r w:rsidRPr="00B05417">
        <w:rPr>
          <w:b/>
          <w:bCs/>
        </w:rPr>
        <w:t>Remarkable Rates of Lightning Strike Mortality in Malawi</w:t>
      </w:r>
    </w:p>
    <w:p w14:paraId="50B498A6" w14:textId="57BD16CF" w:rsidR="00D73B87" w:rsidRPr="00D73B87" w:rsidRDefault="00D73B87" w:rsidP="00D73B87">
      <w:pPr>
        <w:shd w:val="clear" w:color="auto" w:fill="FFFFFF"/>
        <w:spacing w:after="0" w:line="240" w:lineRule="auto"/>
        <w:rPr>
          <w:rFonts w:ascii="Arial" w:eastAsia="Times New Roman" w:hAnsi="Arial" w:cs="Arial"/>
          <w:color w:val="666666"/>
          <w:sz w:val="20"/>
          <w:szCs w:val="20"/>
        </w:rPr>
      </w:pPr>
      <w:r>
        <w:t xml:space="preserve">Monique </w:t>
      </w:r>
      <w:proofErr w:type="spellStart"/>
      <w:r>
        <w:t>Borgerhoff</w:t>
      </w:r>
      <w:proofErr w:type="spellEnd"/>
      <w:r>
        <w:t xml:space="preserve"> Mulder</w:t>
      </w:r>
      <w:r>
        <w:t>,</w:t>
      </w:r>
      <w:r w:rsidRPr="00D73B87">
        <w:rPr>
          <w:rFonts w:ascii="Arial" w:eastAsia="Times New Roman" w:hAnsi="Arial" w:cs="Arial"/>
          <w:color w:val="666666"/>
          <w:sz w:val="20"/>
          <w:szCs w:val="20"/>
        </w:rPr>
        <w:t xml:space="preserve"> </w:t>
      </w:r>
      <w:proofErr w:type="spellStart"/>
      <w:r w:rsidRPr="00D73B87">
        <w:rPr>
          <w:rFonts w:ascii="Arial" w:eastAsia="Times New Roman" w:hAnsi="Arial" w:cs="Arial"/>
          <w:color w:val="666666"/>
          <w:sz w:val="20"/>
          <w:szCs w:val="20"/>
        </w:rPr>
        <w:t>Lameck</w:t>
      </w:r>
      <w:proofErr w:type="spellEnd"/>
      <w:r w:rsidRPr="00D73B87">
        <w:rPr>
          <w:rFonts w:ascii="Arial" w:eastAsia="Times New Roman" w:hAnsi="Arial" w:cs="Arial"/>
          <w:color w:val="666666"/>
          <w:sz w:val="20"/>
          <w:szCs w:val="20"/>
        </w:rPr>
        <w:t xml:space="preserve"> </w:t>
      </w:r>
      <w:proofErr w:type="spellStart"/>
      <w:r w:rsidRPr="00D73B87">
        <w:rPr>
          <w:rFonts w:ascii="Arial" w:eastAsia="Times New Roman" w:hAnsi="Arial" w:cs="Arial"/>
          <w:color w:val="666666"/>
          <w:sz w:val="20"/>
          <w:szCs w:val="20"/>
        </w:rPr>
        <w:t>Msalu</w:t>
      </w:r>
      <w:proofErr w:type="spellEnd"/>
      <w:r w:rsidRPr="00D73B87">
        <w:rPr>
          <w:rFonts w:ascii="Arial" w:eastAsia="Times New Roman" w:hAnsi="Arial" w:cs="Arial"/>
          <w:color w:val="666666"/>
          <w:sz w:val="20"/>
          <w:szCs w:val="20"/>
        </w:rPr>
        <w:t>, Tim Caro,</w:t>
      </w:r>
      <w:r w:rsidRPr="00D73B87">
        <w:t xml:space="preserve"> </w:t>
      </w:r>
      <w:r>
        <w:t>Jonathan Salerno</w:t>
      </w:r>
    </w:p>
    <w:p w14:paraId="726AB863" w14:textId="0330AC73" w:rsidR="00D73B87" w:rsidRPr="00D73B87" w:rsidRDefault="00D73B87" w:rsidP="00D73B87">
      <w:pPr>
        <w:shd w:val="clear" w:color="auto" w:fill="FFFFFF"/>
        <w:spacing w:after="0" w:line="240" w:lineRule="auto"/>
        <w:rPr>
          <w:rFonts w:ascii="Arial" w:eastAsia="Times New Roman" w:hAnsi="Arial" w:cs="Arial"/>
          <w:color w:val="666666"/>
          <w:sz w:val="20"/>
          <w:szCs w:val="20"/>
        </w:rPr>
      </w:pPr>
    </w:p>
    <w:p w14:paraId="320B5C14" w14:textId="7C1CD0A6" w:rsidR="00B05417" w:rsidRDefault="00D73B87" w:rsidP="00B05417">
      <w:pPr>
        <w:rPr>
          <w:b/>
          <w:bCs/>
        </w:rPr>
      </w:pPr>
      <w:hyperlink r:id="rId5" w:history="1">
        <w:r w:rsidR="00B05417" w:rsidRPr="007B2623">
          <w:rPr>
            <w:rStyle w:val="Hyperlink"/>
            <w:b/>
            <w:bCs/>
          </w:rPr>
          <w:t>http://journals.plos.org/plosone/article?id=10.1371/journal.pone.0029281</w:t>
        </w:r>
      </w:hyperlink>
    </w:p>
    <w:p w14:paraId="566D228A" w14:textId="1208C7FA" w:rsidR="00B05417" w:rsidRPr="00B05417" w:rsidRDefault="009003E9" w:rsidP="00B05417">
      <w:hyperlink r:id="rId6" w:history="1">
        <w:r w:rsidRPr="007B2623">
          <w:rPr>
            <w:rStyle w:val="Hyperlink"/>
          </w:rPr>
          <w:t>https://doi.org/10.1371/journal.pone.0029281</w:t>
        </w:r>
      </w:hyperlink>
      <w:r w:rsidR="00B05417" w:rsidRPr="00B05417">
        <w:t xml:space="preserve"> </w:t>
      </w:r>
    </w:p>
    <w:p w14:paraId="2C8D330E" w14:textId="77777777" w:rsidR="00B05417" w:rsidRPr="00B05417" w:rsidRDefault="00B05417" w:rsidP="00B05417">
      <w:pPr>
        <w:rPr>
          <w:b/>
          <w:bCs/>
        </w:rPr>
      </w:pPr>
      <w:bookmarkStart w:id="0" w:name="abstract0"/>
      <w:bookmarkEnd w:id="0"/>
      <w:r w:rsidRPr="00B05417">
        <w:rPr>
          <w:b/>
          <w:bCs/>
        </w:rPr>
        <w:t>Abstract</w:t>
      </w:r>
    </w:p>
    <w:p w14:paraId="3FEC5CC7" w14:textId="77777777" w:rsidR="00B05417" w:rsidRPr="00B05417" w:rsidRDefault="00B05417" w:rsidP="00B05417">
      <w:bookmarkStart w:id="1" w:name="article1.front1.article-meta1.abstract1."/>
      <w:bookmarkEnd w:id="1"/>
      <w:r w:rsidRPr="00B05417">
        <w:t xml:space="preserve">Livingstone's second mission site on the shore of Lake Malawi suffers very high rates of consequential lightning strikes. Comprehensive interviewing of victims and their relatives in seven Traditional Authorities in </w:t>
      </w:r>
      <w:proofErr w:type="spellStart"/>
      <w:r w:rsidRPr="00B05417">
        <w:t>Nkhata</w:t>
      </w:r>
      <w:proofErr w:type="spellEnd"/>
      <w:r w:rsidRPr="00B05417">
        <w:t xml:space="preserve"> Bay District, Malawi revealed that the annual rate of consequential strikes was 419/million, more than six times higher than that in other developing countries; the rate of deaths from lightning was 84/million/year, 5.4 times greater than the highest ever recorded. These remarkable figures reveal that lightning constitutes a significant stochastic source of mortality with potential life history consequences, but it should not deflect attention away from the more prominent causes of mortality in this rural area.</w:t>
      </w:r>
    </w:p>
    <w:p w14:paraId="69B01D13" w14:textId="77777777" w:rsidR="00B05417" w:rsidRPr="00B05417" w:rsidRDefault="00B05417" w:rsidP="00B05417">
      <w:pPr>
        <w:rPr>
          <w:b/>
          <w:bCs/>
        </w:rPr>
      </w:pPr>
      <w:r w:rsidRPr="00B05417">
        <w:rPr>
          <w:b/>
          <w:bCs/>
        </w:rPr>
        <w:t>Figures</w:t>
      </w:r>
    </w:p>
    <w:p w14:paraId="2458597D" w14:textId="7074F090" w:rsidR="00B05417" w:rsidRPr="00B05417" w:rsidRDefault="00B05417" w:rsidP="00B05417">
      <w:r w:rsidRPr="00B05417">
        <w:rPr>
          <w:noProof/>
        </w:rPr>
        <w:drawing>
          <wp:inline distT="0" distB="0" distL="0" distR="0" wp14:anchorId="4D6C780A" wp14:editId="3C750606">
            <wp:extent cx="3048000" cy="3895725"/>
            <wp:effectExtent l="0" t="0" r="0" b="9525"/>
            <wp:docPr id="8" name="Picture 8"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3895725"/>
                    </a:xfrm>
                    <a:prstGeom prst="rect">
                      <a:avLst/>
                    </a:prstGeom>
                    <a:noFill/>
                    <a:ln>
                      <a:noFill/>
                    </a:ln>
                  </pic:spPr>
                </pic:pic>
              </a:graphicData>
            </a:graphic>
          </wp:inline>
        </w:drawing>
      </w:r>
    </w:p>
    <w:p w14:paraId="6C6DE65A" w14:textId="072C451E" w:rsidR="00B05417" w:rsidRPr="00B05417" w:rsidRDefault="00B05417" w:rsidP="00B05417">
      <w:r w:rsidRPr="00B05417">
        <w:rPr>
          <w:noProof/>
        </w:rPr>
        <w:lastRenderedPageBreak/>
        <w:drawing>
          <wp:inline distT="0" distB="0" distL="0" distR="0" wp14:anchorId="5545FA3D" wp14:editId="5BB3435E">
            <wp:extent cx="3048000" cy="3076575"/>
            <wp:effectExtent l="0" t="0" r="0" b="9525"/>
            <wp:docPr id="7" name="Picture 7" descr="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3076575"/>
                    </a:xfrm>
                    <a:prstGeom prst="rect">
                      <a:avLst/>
                    </a:prstGeom>
                    <a:noFill/>
                    <a:ln>
                      <a:noFill/>
                    </a:ln>
                  </pic:spPr>
                </pic:pic>
              </a:graphicData>
            </a:graphic>
          </wp:inline>
        </w:drawing>
      </w:r>
    </w:p>
    <w:p w14:paraId="4F2AF1A5" w14:textId="41E8F91A" w:rsidR="00B05417" w:rsidRPr="00B05417" w:rsidRDefault="00B05417" w:rsidP="00B05417">
      <w:r w:rsidRPr="00B05417">
        <w:rPr>
          <w:noProof/>
        </w:rPr>
        <w:drawing>
          <wp:inline distT="0" distB="0" distL="0" distR="0" wp14:anchorId="789DD17F" wp14:editId="64C0577B">
            <wp:extent cx="3048000" cy="3895725"/>
            <wp:effectExtent l="0" t="0" r="0" b="9525"/>
            <wp:docPr id="6" name="Picture 6"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3895725"/>
                    </a:xfrm>
                    <a:prstGeom prst="rect">
                      <a:avLst/>
                    </a:prstGeom>
                    <a:noFill/>
                    <a:ln>
                      <a:noFill/>
                    </a:ln>
                  </pic:spPr>
                </pic:pic>
              </a:graphicData>
            </a:graphic>
          </wp:inline>
        </w:drawing>
      </w:r>
    </w:p>
    <w:p w14:paraId="3D8536F6" w14:textId="233C86CA" w:rsidR="00B05417" w:rsidRPr="00B05417" w:rsidRDefault="00B05417" w:rsidP="00B05417">
      <w:r w:rsidRPr="00B05417">
        <w:rPr>
          <w:noProof/>
        </w:rPr>
        <w:drawing>
          <wp:inline distT="0" distB="0" distL="0" distR="0" wp14:anchorId="597ADF16" wp14:editId="70024C78">
            <wp:extent cx="3048000" cy="3076575"/>
            <wp:effectExtent l="0" t="0" r="0" b="9525"/>
            <wp:docPr id="5" name="Picture 5" descr="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3076575"/>
                    </a:xfrm>
                    <a:prstGeom prst="rect">
                      <a:avLst/>
                    </a:prstGeom>
                    <a:noFill/>
                    <a:ln>
                      <a:noFill/>
                    </a:ln>
                  </pic:spPr>
                </pic:pic>
              </a:graphicData>
            </a:graphic>
          </wp:inline>
        </w:drawing>
      </w:r>
    </w:p>
    <w:p w14:paraId="3A9A440C" w14:textId="7982115E" w:rsidR="00B05417" w:rsidRPr="00B05417" w:rsidRDefault="00B05417" w:rsidP="00B05417">
      <w:r w:rsidRPr="00B05417">
        <w:rPr>
          <w:noProof/>
        </w:rPr>
        <w:drawing>
          <wp:inline distT="0" distB="0" distL="0" distR="0" wp14:anchorId="59CD22D6" wp14:editId="239DD85C">
            <wp:extent cx="3048000" cy="3895725"/>
            <wp:effectExtent l="0" t="0" r="0" b="9525"/>
            <wp:docPr id="4" name="Picture 4"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3895725"/>
                    </a:xfrm>
                    <a:prstGeom prst="rect">
                      <a:avLst/>
                    </a:prstGeom>
                    <a:noFill/>
                    <a:ln>
                      <a:noFill/>
                    </a:ln>
                  </pic:spPr>
                </pic:pic>
              </a:graphicData>
            </a:graphic>
          </wp:inline>
        </w:drawing>
      </w:r>
    </w:p>
    <w:p w14:paraId="4B31618A" w14:textId="2237AA41" w:rsidR="00B05417" w:rsidRPr="00B05417" w:rsidRDefault="00B05417" w:rsidP="00B05417">
      <w:r w:rsidRPr="00B05417">
        <w:rPr>
          <w:noProof/>
        </w:rPr>
        <w:drawing>
          <wp:inline distT="0" distB="0" distL="0" distR="0" wp14:anchorId="2DBE4F66" wp14:editId="482DDB02">
            <wp:extent cx="3048000" cy="3076575"/>
            <wp:effectExtent l="0" t="0" r="0" b="9525"/>
            <wp:docPr id="3" name="Picture 3" descr="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3076575"/>
                    </a:xfrm>
                    <a:prstGeom prst="rect">
                      <a:avLst/>
                    </a:prstGeom>
                    <a:noFill/>
                    <a:ln>
                      <a:noFill/>
                    </a:ln>
                  </pic:spPr>
                </pic:pic>
              </a:graphicData>
            </a:graphic>
          </wp:inline>
        </w:drawing>
      </w:r>
    </w:p>
    <w:p w14:paraId="4077DB87" w14:textId="77777777" w:rsidR="00B05417" w:rsidRPr="00B05417" w:rsidRDefault="00B05417" w:rsidP="00B05417">
      <w:r w:rsidRPr="00B05417">
        <w:rPr>
          <w:b/>
          <w:bCs/>
        </w:rPr>
        <w:t xml:space="preserve">Citation: </w:t>
      </w:r>
      <w:proofErr w:type="spellStart"/>
      <w:r w:rsidRPr="00B05417">
        <w:t>Borgerhoff</w:t>
      </w:r>
      <w:proofErr w:type="spellEnd"/>
      <w:r w:rsidRPr="00B05417">
        <w:t xml:space="preserve"> Mulder M, </w:t>
      </w:r>
      <w:proofErr w:type="spellStart"/>
      <w:r w:rsidRPr="00B05417">
        <w:t>Msalu</w:t>
      </w:r>
      <w:proofErr w:type="spellEnd"/>
      <w:r w:rsidRPr="00B05417">
        <w:t xml:space="preserve"> L, Caro T, Salerno J (2012) Remarkable Rates of Lightning Strike Mortality in Malawi. </w:t>
      </w:r>
      <w:proofErr w:type="spellStart"/>
      <w:r w:rsidRPr="00B05417">
        <w:t>PLoS</w:t>
      </w:r>
      <w:proofErr w:type="spellEnd"/>
      <w:r w:rsidRPr="00B05417">
        <w:t xml:space="preserve"> ONE 7(1): e29281. https://doi.org/10.1371/journal.pone.0029281</w:t>
      </w:r>
    </w:p>
    <w:p w14:paraId="512D8F33" w14:textId="77777777" w:rsidR="00B05417" w:rsidRPr="00B05417" w:rsidRDefault="00B05417" w:rsidP="00B05417">
      <w:r w:rsidRPr="00B05417">
        <w:rPr>
          <w:b/>
          <w:bCs/>
        </w:rPr>
        <w:t xml:space="preserve">Editor: </w:t>
      </w:r>
      <w:r w:rsidRPr="00B05417">
        <w:t xml:space="preserve">Virginia J. </w:t>
      </w:r>
      <w:proofErr w:type="spellStart"/>
      <w:r w:rsidRPr="00B05417">
        <w:t>Vitzthum</w:t>
      </w:r>
      <w:proofErr w:type="spellEnd"/>
      <w:r w:rsidRPr="00B05417">
        <w:t>, Indiana University, United States of America</w:t>
      </w:r>
    </w:p>
    <w:p w14:paraId="5BDB8A77" w14:textId="77777777" w:rsidR="00B05417" w:rsidRPr="00B05417" w:rsidRDefault="00B05417" w:rsidP="00B05417">
      <w:r w:rsidRPr="00B05417">
        <w:rPr>
          <w:b/>
          <w:bCs/>
        </w:rPr>
        <w:t xml:space="preserve">Received: </w:t>
      </w:r>
      <w:r w:rsidRPr="00B05417">
        <w:t xml:space="preserve">September 7, 2011; </w:t>
      </w:r>
      <w:r w:rsidRPr="00B05417">
        <w:rPr>
          <w:b/>
          <w:bCs/>
        </w:rPr>
        <w:t xml:space="preserve">Accepted: </w:t>
      </w:r>
      <w:r w:rsidRPr="00B05417">
        <w:t xml:space="preserve">November 23, 2011; </w:t>
      </w:r>
      <w:r w:rsidRPr="00B05417">
        <w:rPr>
          <w:b/>
          <w:bCs/>
        </w:rPr>
        <w:t xml:space="preserve">Published: </w:t>
      </w:r>
      <w:r w:rsidRPr="00B05417">
        <w:t>January 9, 2012</w:t>
      </w:r>
    </w:p>
    <w:p w14:paraId="105BE980" w14:textId="77777777" w:rsidR="00B05417" w:rsidRPr="00B05417" w:rsidRDefault="00B05417" w:rsidP="00B05417">
      <w:r w:rsidRPr="00B05417">
        <w:rPr>
          <w:b/>
          <w:bCs/>
        </w:rPr>
        <w:t xml:space="preserve">Copyright: </w:t>
      </w:r>
      <w:r w:rsidRPr="00B05417">
        <w:t xml:space="preserve">© 2012 </w:t>
      </w:r>
      <w:proofErr w:type="spellStart"/>
      <w:r w:rsidRPr="00B05417">
        <w:t>Borgerhoff</w:t>
      </w:r>
      <w:proofErr w:type="spellEnd"/>
      <w:r w:rsidRPr="00B05417">
        <w:t xml:space="preserve"> Mulder et al. This is an open-access article distributed under the terms of the Creative Commons Attribution License, which permits unrestricted use, distribution, and reproduction in any medium, provided the original author and source are credited.</w:t>
      </w:r>
    </w:p>
    <w:p w14:paraId="3119870D" w14:textId="77777777" w:rsidR="00B05417" w:rsidRPr="00B05417" w:rsidRDefault="00B05417" w:rsidP="00B05417">
      <w:r w:rsidRPr="00B05417">
        <w:rPr>
          <w:b/>
          <w:bCs/>
        </w:rPr>
        <w:t xml:space="preserve">Funding: </w:t>
      </w:r>
      <w:r w:rsidRPr="00B05417">
        <w:t>These authors have no support or funding to report.</w:t>
      </w:r>
    </w:p>
    <w:p w14:paraId="3B5ED65D" w14:textId="77777777" w:rsidR="00B05417" w:rsidRPr="00B05417" w:rsidRDefault="00B05417" w:rsidP="00B05417">
      <w:r w:rsidRPr="00B05417">
        <w:rPr>
          <w:b/>
          <w:bCs/>
        </w:rPr>
        <w:t xml:space="preserve">Competing interests: </w:t>
      </w:r>
      <w:r w:rsidRPr="00B05417">
        <w:t>The authors have declared that no competing interests exist.</w:t>
      </w:r>
    </w:p>
    <w:p w14:paraId="4052830E" w14:textId="77777777" w:rsidR="00B05417" w:rsidRPr="00B05417" w:rsidRDefault="00B05417" w:rsidP="00B05417">
      <w:pPr>
        <w:rPr>
          <w:b/>
          <w:bCs/>
        </w:rPr>
      </w:pPr>
      <w:bookmarkStart w:id="2" w:name="s1"/>
      <w:bookmarkEnd w:id="2"/>
      <w:r w:rsidRPr="00B05417">
        <w:rPr>
          <w:b/>
          <w:bCs/>
        </w:rPr>
        <w:t>Introduction</w:t>
      </w:r>
    </w:p>
    <w:p w14:paraId="387A7EB0" w14:textId="01A1FC4A" w:rsidR="00B05417" w:rsidRPr="00B05417" w:rsidRDefault="00B05417" w:rsidP="00B05417">
      <w:bookmarkStart w:id="3" w:name="article1.body1.sec1.p1"/>
      <w:bookmarkEnd w:id="3"/>
      <w:r w:rsidRPr="00B05417">
        <w:t xml:space="preserve">Consequential lighting strikes (CLS), defined as lightning events causing physical injury, unconsciousness or death to humans, result in 0.3 to 6 fatalities/million people/annum in developed and developing countries, respectively. Visiting Old </w:t>
      </w:r>
      <w:proofErr w:type="spellStart"/>
      <w:r w:rsidRPr="00B05417">
        <w:t>Bandawe</w:t>
      </w:r>
      <w:proofErr w:type="spellEnd"/>
      <w:r w:rsidRPr="00B05417">
        <w:t>, David Livingstone's second mission settlement on the northwest shore of Lake Malawi, we noted many funerals resulting from fatal lightning strikes. Given that 78% of all lightning events occur in the tropics, the possibility of high localized risk of CLS in parts of Central Africa merits investigation because it has ramifications for life history theory, public safety concerns, and development strategies on the African continent.</w:t>
      </w:r>
    </w:p>
    <w:p w14:paraId="4E5AEE2B" w14:textId="77777777" w:rsidR="00B05417" w:rsidRPr="00B05417" w:rsidRDefault="00B05417" w:rsidP="00B05417">
      <w:pPr>
        <w:rPr>
          <w:b/>
          <w:bCs/>
        </w:rPr>
      </w:pPr>
      <w:bookmarkStart w:id="4" w:name="s2"/>
      <w:bookmarkEnd w:id="4"/>
      <w:r w:rsidRPr="00B05417">
        <w:rPr>
          <w:b/>
          <w:bCs/>
        </w:rPr>
        <w:t>Results</w:t>
      </w:r>
    </w:p>
    <w:p w14:paraId="116FC55C" w14:textId="69069F86" w:rsidR="00B05417" w:rsidRPr="00B05417" w:rsidRDefault="00B05417" w:rsidP="00B05417">
      <w:bookmarkStart w:id="5" w:name="article1.body1.sec2.p1"/>
      <w:bookmarkEnd w:id="5"/>
      <w:r w:rsidRPr="00B05417">
        <w:t xml:space="preserve">We identified 225 CLS resulting in 454 victims (1–8 victims/strike) between 1979 (the earliest remembered event) and 2010 in </w:t>
      </w:r>
      <w:proofErr w:type="spellStart"/>
      <w:r w:rsidRPr="00B05417">
        <w:t>Nkhata</w:t>
      </w:r>
      <w:proofErr w:type="spellEnd"/>
      <w:r w:rsidRPr="00B05417">
        <w:t xml:space="preserve"> Bay District, Northern Province, Malawi. Of 450 victims with known outcome, 61% resulted in unconsciousness, 8% unconsciousness with other injuries, 3% injury alone, and 26% in death (referring to immediate outcome not to differential care or medical treatment). Data on the long-term outcome of 317 survivors revealed that 85% made a full recovery, although permanent symptoms included hearing damage (8%), headaches (3%), other lasting pain (3%), and psychological damage (2%). Strikes occurred during day and night (before midnight) but mostly in the wet season.</w:t>
      </w:r>
    </w:p>
    <w:p w14:paraId="07F316D1" w14:textId="00FB738D" w:rsidR="00B05417" w:rsidRPr="00B05417" w:rsidRDefault="00B05417" w:rsidP="00B05417">
      <w:bookmarkStart w:id="6" w:name="pone-0029281-g001"/>
      <w:bookmarkEnd w:id="6"/>
      <w:r w:rsidRPr="00B05417">
        <w:rPr>
          <w:noProof/>
        </w:rPr>
        <w:drawing>
          <wp:inline distT="0" distB="0" distL="0" distR="0" wp14:anchorId="78F8C5DB" wp14:editId="13D22C55">
            <wp:extent cx="3048000" cy="3895725"/>
            <wp:effectExtent l="0" t="0" r="0" b="9525"/>
            <wp:docPr id="2" name="Picture 2" descr="thumbnail">
              <a:hlinkClick xmlns:a="http://schemas.openxmlformats.org/drawingml/2006/main" r:id="rId9" tooltip="&quot;Click for larger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humbnail">
                      <a:hlinkClick r:id="rId9" tooltip="&quot;Click for larger imag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3895725"/>
                    </a:xfrm>
                    <a:prstGeom prst="rect">
                      <a:avLst/>
                    </a:prstGeom>
                    <a:noFill/>
                    <a:ln>
                      <a:noFill/>
                    </a:ln>
                  </pic:spPr>
                </pic:pic>
              </a:graphicData>
            </a:graphic>
          </wp:inline>
        </w:drawing>
      </w:r>
    </w:p>
    <w:p w14:paraId="03C56405" w14:textId="77777777" w:rsidR="00B05417" w:rsidRPr="00B05417" w:rsidRDefault="00B05417" w:rsidP="00B05417">
      <w:r w:rsidRPr="00B05417">
        <w:t xml:space="preserve">Figure 1. Household interviews were conducted to catalog the consequential lightning strikes in seven Traditional Authorities (TAs) of </w:t>
      </w:r>
      <w:proofErr w:type="spellStart"/>
      <w:r w:rsidRPr="00B05417">
        <w:t>Nkhata</w:t>
      </w:r>
      <w:proofErr w:type="spellEnd"/>
      <w:r w:rsidRPr="00B05417">
        <w:t xml:space="preserve"> Bay District, fringing the western shore of Lake Malawi.</w:t>
      </w:r>
    </w:p>
    <w:p w14:paraId="469ABA8E" w14:textId="77777777" w:rsidR="00B05417" w:rsidRPr="00B05417" w:rsidRDefault="00B05417" w:rsidP="00B05417">
      <w:bookmarkStart w:id="7" w:name="article1.body1.sec2.fig1.caption1.p1"/>
      <w:bookmarkEnd w:id="7"/>
      <w:r w:rsidRPr="00B05417">
        <w:t xml:space="preserve">TA boundaries correspond to the period of 2008; </w:t>
      </w:r>
      <w:proofErr w:type="spellStart"/>
      <w:r w:rsidRPr="00B05417">
        <w:t>Mankhambira</w:t>
      </w:r>
      <w:proofErr w:type="spellEnd"/>
      <w:r w:rsidRPr="00B05417">
        <w:t xml:space="preserve"> TA shown here overlaps the urban TA of </w:t>
      </w:r>
      <w:proofErr w:type="spellStart"/>
      <w:r w:rsidRPr="00B05417">
        <w:t>Mkumbira</w:t>
      </w:r>
      <w:proofErr w:type="spellEnd"/>
      <w:r w:rsidRPr="00B05417">
        <w:t xml:space="preserve"> (not pictured), which comprises </w:t>
      </w:r>
      <w:proofErr w:type="spellStart"/>
      <w:r w:rsidRPr="00B05417">
        <w:t>Nkhata</w:t>
      </w:r>
      <w:proofErr w:type="spellEnd"/>
      <w:r w:rsidRPr="00B05417">
        <w:t xml:space="preserve"> Bay Town but was not surveyed. During sampling, </w:t>
      </w:r>
      <w:proofErr w:type="spellStart"/>
      <w:r w:rsidRPr="00B05417">
        <w:t>Fukamalaza</w:t>
      </w:r>
      <w:proofErr w:type="spellEnd"/>
      <w:r w:rsidRPr="00B05417">
        <w:t xml:space="preserve"> was combined with Malanda TA.</w:t>
      </w:r>
    </w:p>
    <w:p w14:paraId="38F3AFE7" w14:textId="77777777" w:rsidR="00B05417" w:rsidRPr="00B05417" w:rsidRDefault="00D73B87" w:rsidP="00B05417">
      <w:hyperlink r:id="rId10" w:history="1">
        <w:r w:rsidR="00B05417" w:rsidRPr="00B05417">
          <w:rPr>
            <w:rStyle w:val="Hyperlink"/>
          </w:rPr>
          <w:t>https://doi.org/10.1371/journal.pone.0029281.g001</w:t>
        </w:r>
      </w:hyperlink>
    </w:p>
    <w:p w14:paraId="77B01458" w14:textId="131D9C7D" w:rsidR="00B05417" w:rsidRPr="00B05417" w:rsidRDefault="00B05417" w:rsidP="00B05417">
      <w:bookmarkStart w:id="8" w:name="article1.body1.sec2.p2"/>
      <w:bookmarkEnd w:id="8"/>
      <w:r w:rsidRPr="00B05417">
        <w:t xml:space="preserve">Preponderance of reports of CLS victims from the last three years (mean annual CLS 2007–2010 = 56.3; 1979–2007 = 10.2) likely reflects under-reporting of earlier cases due to outmigration after trauma. In rural Africa families struck by misfortune commonly attribute inexplicable events to enmity, conflict, or malfeasance, and tensions are frequently solved by moving away. Alternative explanations for recent high victim rates include memory erosion (unlikely given vivid and detailed accounts of CLS in almost every interview); a rapid increase in lightning strikes since 2007 (difficult to evaluate, but unlikely); changes in activity patterns that put people at greater exposure (again, difficult to evaluate, but unlikely given persistence of subsistence agricultural livelihoods); or a precipitous increase in number of people at risk – also unlikely given current population growth rates in </w:t>
      </w:r>
      <w:proofErr w:type="spellStart"/>
      <w:r w:rsidRPr="00B05417">
        <w:t>Nkhata</w:t>
      </w:r>
      <w:proofErr w:type="spellEnd"/>
      <w:r w:rsidRPr="00B05417">
        <w:t xml:space="preserve"> Bay District of 2.8%.</w:t>
      </w:r>
    </w:p>
    <w:p w14:paraId="39097598" w14:textId="2B4F0FCB" w:rsidR="00B05417" w:rsidRPr="00B05417" w:rsidRDefault="00B05417" w:rsidP="00B05417">
      <w:bookmarkStart w:id="9" w:name="article1.body1.sec2.p3"/>
      <w:bookmarkEnd w:id="9"/>
      <w:r w:rsidRPr="00B05417">
        <w:t xml:space="preserve">Relying on recent CLS and contemporary census data we calculate that between October 2007 and September 2010, the annual average rate of </w:t>
      </w:r>
      <w:r w:rsidRPr="00B05417">
        <w:rPr>
          <w:i/>
          <w:iCs/>
        </w:rPr>
        <w:t>being injured</w:t>
      </w:r>
      <w:r w:rsidRPr="00B05417">
        <w:t xml:space="preserve"> from a lightning strike was 327/million (range 25–1,026/million depending on TA). The annual average rate for being </w:t>
      </w:r>
      <w:r w:rsidRPr="00B05417">
        <w:rPr>
          <w:i/>
          <w:iCs/>
        </w:rPr>
        <w:t>killed</w:t>
      </w:r>
      <w:r w:rsidRPr="00B05417">
        <w:t xml:space="preserve"> was 84/million (0–174/million).</w:t>
      </w:r>
    </w:p>
    <w:p w14:paraId="3AF12B59" w14:textId="77777777" w:rsidR="00B05417" w:rsidRPr="00B05417" w:rsidRDefault="00B05417" w:rsidP="00B05417">
      <w:pPr>
        <w:rPr>
          <w:b/>
          <w:bCs/>
        </w:rPr>
      </w:pPr>
      <w:bookmarkStart w:id="10" w:name="s3"/>
      <w:bookmarkEnd w:id="10"/>
      <w:r w:rsidRPr="00B05417">
        <w:rPr>
          <w:b/>
          <w:bCs/>
        </w:rPr>
        <w:t>Discussion</w:t>
      </w:r>
    </w:p>
    <w:p w14:paraId="5118DB15" w14:textId="5AE8F376" w:rsidR="00B05417" w:rsidRPr="00B05417" w:rsidRDefault="00B05417" w:rsidP="00B05417">
      <w:bookmarkStart w:id="11" w:name="article1.body1.sec3.p1"/>
      <w:bookmarkEnd w:id="11"/>
      <w:r w:rsidRPr="00B05417">
        <w:t xml:space="preserve">Annual lightning-caused mortality rates are estimated as 6/million for the developing world with 15.5/million being reported for Swaziland. The highest mortality rate measured in our </w:t>
      </w:r>
      <w:proofErr w:type="spellStart"/>
      <w:r w:rsidRPr="00B05417">
        <w:t>Nkhata</w:t>
      </w:r>
      <w:proofErr w:type="spellEnd"/>
      <w:r w:rsidRPr="00B05417">
        <w:t xml:space="preserve"> Bay study area (</w:t>
      </w:r>
      <w:proofErr w:type="spellStart"/>
      <w:r w:rsidRPr="00B05417">
        <w:t>Fukamapiri</w:t>
      </w:r>
      <w:proofErr w:type="spellEnd"/>
      <w:r w:rsidRPr="00B05417">
        <w:t xml:space="preserve"> TA) is 11 times greater than that of Swaziland, with the mean rate recorded for </w:t>
      </w:r>
      <w:proofErr w:type="spellStart"/>
      <w:r w:rsidRPr="00B05417">
        <w:t>Nkhata</w:t>
      </w:r>
      <w:proofErr w:type="spellEnd"/>
      <w:r w:rsidRPr="00B05417">
        <w:t xml:space="preserve"> Bay District being 5.5 times greater than the Swaziland national rate. A 10</w:t>
      </w:r>
      <w:r w:rsidRPr="00B05417">
        <w:rPr>
          <w:rFonts w:ascii="Cambria Math" w:hAnsi="Cambria Math" w:cs="Cambria Math"/>
        </w:rPr>
        <w:t>∶</w:t>
      </w:r>
      <w:r w:rsidRPr="00B05417">
        <w:t xml:space="preserve">1 </w:t>
      </w:r>
      <w:proofErr w:type="spellStart"/>
      <w:r w:rsidRPr="00B05417">
        <w:t>injuries</w:t>
      </w:r>
      <w:r w:rsidRPr="00B05417">
        <w:rPr>
          <w:rFonts w:ascii="Cambria Math" w:hAnsi="Cambria Math" w:cs="Cambria Math"/>
        </w:rPr>
        <w:t>∶</w:t>
      </w:r>
      <w:r w:rsidRPr="00B05417">
        <w:t>death</w:t>
      </w:r>
      <w:proofErr w:type="spellEnd"/>
      <w:r w:rsidRPr="00B05417">
        <w:t xml:space="preserve"> ratio gives an estimated average annual rate of 66/millions of being struck in the developing world; our measured rate in </w:t>
      </w:r>
      <w:proofErr w:type="spellStart"/>
      <w:r w:rsidRPr="00B05417">
        <w:t>Nkhata</w:t>
      </w:r>
      <w:proofErr w:type="spellEnd"/>
      <w:r w:rsidRPr="00B05417">
        <w:t xml:space="preserve"> Bay was 419, greater by six times. Comparing this rate to recent and historic estimates of lightning mortality compiled by Holle demonstrates the substantial relative risk in our study site, as well as the trend of decreasing lightning mortality with increasing economic development seen in Europe and the USA. These remarkable figures likely reflect both the proximity of Lake Malawi, Africa's third largest lake (30,000 km</w:t>
      </w:r>
      <w:r w:rsidRPr="00B05417">
        <w:rPr>
          <w:vertAlign w:val="superscript"/>
        </w:rPr>
        <w:t>2</w:t>
      </w:r>
      <w:r w:rsidRPr="00B05417">
        <w:t xml:space="preserve"> and 600 km long, known as the Lake of Storms) and our reliance on community level reports rather than official (typically underestimated) figures. Our study area on the northwest shore protrudes into the lake and appears prone to disproportionate CLS from storms over the lake.</w:t>
      </w:r>
    </w:p>
    <w:p w14:paraId="4199A818" w14:textId="2FA7F10A" w:rsidR="00B05417" w:rsidRPr="00B05417" w:rsidRDefault="00B05417" w:rsidP="00B05417">
      <w:bookmarkStart w:id="12" w:name="pone-0029281-g002"/>
      <w:bookmarkEnd w:id="12"/>
      <w:r w:rsidRPr="00B05417">
        <w:rPr>
          <w:noProof/>
        </w:rPr>
        <w:drawing>
          <wp:inline distT="0" distB="0" distL="0" distR="0" wp14:anchorId="7ACB5F89" wp14:editId="71C50D9B">
            <wp:extent cx="3048000" cy="3076575"/>
            <wp:effectExtent l="0" t="0" r="0" b="9525"/>
            <wp:docPr id="1" name="Picture 1" descr="thumbnail">
              <a:hlinkClick xmlns:a="http://schemas.openxmlformats.org/drawingml/2006/main" r:id="rId11" tooltip="&quot;Click for larger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umbnail">
                      <a:hlinkClick r:id="rId11" tooltip="&quot;Click for larger imag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3076575"/>
                    </a:xfrm>
                    <a:prstGeom prst="rect">
                      <a:avLst/>
                    </a:prstGeom>
                    <a:noFill/>
                    <a:ln>
                      <a:noFill/>
                    </a:ln>
                  </pic:spPr>
                </pic:pic>
              </a:graphicData>
            </a:graphic>
          </wp:inline>
        </w:drawing>
      </w:r>
    </w:p>
    <w:p w14:paraId="5BA59CC0" w14:textId="77777777" w:rsidR="00B05417" w:rsidRPr="00B05417" w:rsidRDefault="00B05417" w:rsidP="00B05417">
      <w:r w:rsidRPr="00B05417">
        <w:t>Figure 2. Estimates of mortality from lightning per million people per annum.</w:t>
      </w:r>
    </w:p>
    <w:p w14:paraId="7B7B4FDB" w14:textId="7AE552AB" w:rsidR="00B05417" w:rsidRPr="00B05417" w:rsidRDefault="00B05417" w:rsidP="00B05417">
      <w:bookmarkStart w:id="13" w:name="article1.body1.sec3.fig1.caption1.p1"/>
      <w:bookmarkEnd w:id="13"/>
      <w:r w:rsidRPr="00B05417">
        <w:t xml:space="preserve">Data are taken from Holle and were compiled from published estimates, except for Malawi (this study) and Swaziland. Selected data include historical estimates to approximate rates in 1900 (+/− 30 </w:t>
      </w:r>
      <w:proofErr w:type="spellStart"/>
      <w:r w:rsidRPr="00B05417">
        <w:t>yrs</w:t>
      </w:r>
      <w:proofErr w:type="spellEnd"/>
      <w:r w:rsidRPr="00B05417">
        <w:t>). All mortality rates reported for current temperate countries are less than 1.0 per million people per annum.</w:t>
      </w:r>
    </w:p>
    <w:p w14:paraId="44B38A28" w14:textId="77777777" w:rsidR="00B05417" w:rsidRPr="00B05417" w:rsidRDefault="00D73B87" w:rsidP="00B05417">
      <w:hyperlink r:id="rId12" w:history="1">
        <w:r w:rsidR="00B05417" w:rsidRPr="00B05417">
          <w:rPr>
            <w:rStyle w:val="Hyperlink"/>
          </w:rPr>
          <w:t>https://doi.org/10.1371/journal.pone.0029281.g002</w:t>
        </w:r>
      </w:hyperlink>
    </w:p>
    <w:p w14:paraId="36C7F547" w14:textId="2B561CBD" w:rsidR="00B05417" w:rsidRPr="00B05417" w:rsidRDefault="00B05417" w:rsidP="00B05417">
      <w:bookmarkStart w:id="14" w:name="article1.body1.sec3.p2"/>
      <w:bookmarkEnd w:id="14"/>
      <w:r w:rsidRPr="00B05417">
        <w:t xml:space="preserve">Where the risk of extrinsic mortality is great there are diminishing returns to parental effort, which selects for high fertility and lower investment in existing offspring. For humans there is some evidence of links between the risk of extrinsic mortality and life history traits. For example, giving birth at an early age is linked to high crime rates in the USA, to high rates of HIV infection in South Africa and to low life expectancy in the UK; moreover, cross cultural analyses suggest that populations experiencing famine and/or warfare show lower levels of some components of parental care, such as sleeping proximity. We might therefore expect less diligent child care, higher fertility and earlier age of first reproduction in areas experiencing high CLS than in areas with lower lightning activity, other factors being equal. Furthermore, cases of apparently random death, as occur with lightning strikes, can elicit accusations of witchcraft against community members with whom relationships are strained, such as </w:t>
      </w:r>
      <w:proofErr w:type="spellStart"/>
      <w:r w:rsidRPr="00B05417">
        <w:t>neighbours</w:t>
      </w:r>
      <w:proofErr w:type="spellEnd"/>
      <w:r w:rsidRPr="00B05417">
        <w:t xml:space="preserve"> with property conflicts or unpaid debts. Such outcomes often lead to one or more families moving out of the area, compounding the emotional loss with economic and social costs.</w:t>
      </w:r>
    </w:p>
    <w:p w14:paraId="301968FB" w14:textId="4CF96C2B" w:rsidR="00B05417" w:rsidRPr="00B05417" w:rsidRDefault="00B05417" w:rsidP="00B05417">
      <w:bookmarkStart w:id="15" w:name="article1.body1.sec3.p3"/>
      <w:bookmarkEnd w:id="15"/>
      <w:r w:rsidRPr="00B05417">
        <w:t xml:space="preserve">Reduction in risks of CLS in developed nations arose through urbanization and changing building construction. If risk of lightning in northern Malawi represents as substantial a threat as our data indicate, direct intervention may be required. Possible routes entail lightning conductors on buildings, improved shelters, and greater awareness. Specifically, we suggest that District Governments adjacent to the Great Lakes Region of East and Central Africa instigate </w:t>
      </w:r>
      <w:proofErr w:type="spellStart"/>
      <w:r w:rsidRPr="00B05417">
        <w:t>programmes</w:t>
      </w:r>
      <w:proofErr w:type="spellEnd"/>
      <w:r w:rsidRPr="00B05417">
        <w:t xml:space="preserve"> of increasing public awareness through workshops and displaying lightning safety instructions in schools and on beaches. In particular, the importance of staying inside should be stressed, as well as remaining under cover if caught outside, since these seemed to have effects on incidences of CLS. Certainly, specialists should be consulted with respect to the merits of placing lightning conductors on buildings such as schools and churches where people collect.</w:t>
      </w:r>
    </w:p>
    <w:p w14:paraId="59DD23E6" w14:textId="061D7828" w:rsidR="00B05417" w:rsidRPr="00B05417" w:rsidRDefault="00B05417" w:rsidP="00B05417">
      <w:bookmarkStart w:id="16" w:name="article1.body1.sec3.p4"/>
      <w:bookmarkEnd w:id="16"/>
      <w:r w:rsidRPr="00B05417">
        <w:t xml:space="preserve">In relation to national and international development strategies, however, caution is required. It is important to stress that rates of mortality during infancy and from diseases including malaria, TB, and HIV-AIDS are far greater threats to community welfare than being struck by lightning. As an anecdote, Livingstone's successors abandoned Old </w:t>
      </w:r>
      <w:proofErr w:type="spellStart"/>
      <w:r w:rsidRPr="00B05417">
        <w:t>Bandawe</w:t>
      </w:r>
      <w:proofErr w:type="spellEnd"/>
      <w:r w:rsidRPr="00B05417">
        <w:t xml:space="preserve"> because of malaria rather than lightning as the gravestones there attest. Our findings regarding lightning death and injury should not deflect resources away from the prevention of more common causes of mortality, which are being tackled by governments, development and civil society organizations throughout the developing world.</w:t>
      </w:r>
    </w:p>
    <w:p w14:paraId="13B709AC" w14:textId="77777777" w:rsidR="00B05417" w:rsidRPr="00B05417" w:rsidRDefault="00B05417" w:rsidP="00B05417">
      <w:pPr>
        <w:rPr>
          <w:b/>
          <w:bCs/>
        </w:rPr>
      </w:pPr>
      <w:bookmarkStart w:id="17" w:name="s4"/>
      <w:bookmarkEnd w:id="17"/>
      <w:r w:rsidRPr="00B05417">
        <w:rPr>
          <w:b/>
          <w:bCs/>
        </w:rPr>
        <w:t>Methods</w:t>
      </w:r>
    </w:p>
    <w:p w14:paraId="6FFABA29" w14:textId="5CD5835D" w:rsidR="00B05417" w:rsidRPr="00B05417" w:rsidRDefault="00B05417" w:rsidP="00B05417">
      <w:bookmarkStart w:id="18" w:name="article1.body1.sec4.p1"/>
      <w:bookmarkEnd w:id="18"/>
      <w:r w:rsidRPr="00B05417">
        <w:t xml:space="preserve">Following local </w:t>
      </w:r>
      <w:proofErr w:type="gramStart"/>
      <w:r w:rsidRPr="00B05417">
        <w:t>usage</w:t>
      </w:r>
      <w:proofErr w:type="gramEnd"/>
      <w:r w:rsidRPr="00B05417">
        <w:t xml:space="preserve"> we define victims as individuals present at the lightning strike and rendered unconscious, injured, or dead. To determine the prevalence of fatal and non-fatal lightning strikes, we conducted a comprehensive cross-sectional survey of all consequential lightning strikes (CLS) across seven Traditional Authorities (TA), comprising 134,379 total people, in </w:t>
      </w:r>
      <w:proofErr w:type="spellStart"/>
      <w:r w:rsidRPr="00B05417">
        <w:t>Nkhata</w:t>
      </w:r>
      <w:proofErr w:type="spellEnd"/>
      <w:r w:rsidRPr="00B05417">
        <w:t xml:space="preserve"> Bay District (Northern Province, Malawi) over three periods between June 2009 and June 2011. The TAs were </w:t>
      </w:r>
      <w:proofErr w:type="spellStart"/>
      <w:r w:rsidRPr="00B05417">
        <w:t>Fukamapiri</w:t>
      </w:r>
      <w:proofErr w:type="spellEnd"/>
      <w:r w:rsidRPr="00B05417">
        <w:t xml:space="preserve">, </w:t>
      </w:r>
      <w:proofErr w:type="spellStart"/>
      <w:r w:rsidRPr="00B05417">
        <w:t>Malenga</w:t>
      </w:r>
      <w:proofErr w:type="spellEnd"/>
      <w:r w:rsidRPr="00B05417">
        <w:t xml:space="preserve"> </w:t>
      </w:r>
      <w:proofErr w:type="spellStart"/>
      <w:r w:rsidRPr="00B05417">
        <w:t>Mzoma</w:t>
      </w:r>
      <w:proofErr w:type="spellEnd"/>
      <w:r w:rsidRPr="00B05417">
        <w:t xml:space="preserve">, </w:t>
      </w:r>
      <w:proofErr w:type="spellStart"/>
      <w:r w:rsidRPr="00B05417">
        <w:t>Mankhambira</w:t>
      </w:r>
      <w:proofErr w:type="spellEnd"/>
      <w:r w:rsidRPr="00B05417">
        <w:t xml:space="preserve">, Malanda, </w:t>
      </w:r>
      <w:proofErr w:type="spellStart"/>
      <w:r w:rsidRPr="00B05417">
        <w:t>Nyaluwanga</w:t>
      </w:r>
      <w:proofErr w:type="spellEnd"/>
      <w:r w:rsidRPr="00B05417">
        <w:t xml:space="preserve">, </w:t>
      </w:r>
      <w:proofErr w:type="spellStart"/>
      <w:r w:rsidRPr="00B05417">
        <w:t>Timbiri</w:t>
      </w:r>
      <w:proofErr w:type="spellEnd"/>
      <w:r w:rsidRPr="00B05417">
        <w:t xml:space="preserve"> and </w:t>
      </w:r>
      <w:proofErr w:type="spellStart"/>
      <w:r w:rsidRPr="00B05417">
        <w:t>Zilakoma</w:t>
      </w:r>
      <w:proofErr w:type="spellEnd"/>
      <w:r w:rsidRPr="00B05417">
        <w:t xml:space="preserve">. Structured interviews were administered directly to victims/survivors and witnesses in order to avoid underreporting inherent in death certificates, newspaper articles, and hospital discharge data. Following the initial survey period (June–August 2009) covering five TAs surrounding </w:t>
      </w:r>
      <w:proofErr w:type="spellStart"/>
      <w:r w:rsidRPr="00B05417">
        <w:t>Nkhata</w:t>
      </w:r>
      <w:proofErr w:type="spellEnd"/>
      <w:r w:rsidRPr="00B05417">
        <w:t xml:space="preserve"> Bay Town, the second survey (September–November 2010) was used to update the record of incidences in this area, and to determine the extent of missed reports in the previous survey; a further 15 cases of CLS from 1979–2009 were uncovered in three of the TAs believed to have been completed in 2009, suggesting under-reporting in the initial survey of at least 5%. The third survey period (May–June 2011) expanded the study site to include adjacent TAs to the north and south along the lake shore, </w:t>
      </w:r>
      <w:proofErr w:type="spellStart"/>
      <w:r w:rsidRPr="00B05417">
        <w:t>Nyaluwanga</w:t>
      </w:r>
      <w:proofErr w:type="spellEnd"/>
      <w:r w:rsidRPr="00B05417">
        <w:t xml:space="preserve"> and </w:t>
      </w:r>
      <w:proofErr w:type="spellStart"/>
      <w:r w:rsidRPr="00B05417">
        <w:t>Zilakoma</w:t>
      </w:r>
      <w:proofErr w:type="spellEnd"/>
      <w:r w:rsidRPr="00B05417">
        <w:t>. Injuries and deaths per person/annum were calculated for each TA, and for the seven TAs combined, using government census data.</w:t>
      </w:r>
    </w:p>
    <w:p w14:paraId="00C4BD52" w14:textId="3B7696F3" w:rsidR="00B05417" w:rsidRPr="00B05417" w:rsidRDefault="00B05417" w:rsidP="00B05417">
      <w:bookmarkStart w:id="19" w:name="article1.body1.sec4.p2"/>
      <w:bookmarkEnd w:id="19"/>
      <w:r w:rsidRPr="00B05417">
        <w:t xml:space="preserve">Mean annual rainfall is 1524 mm at </w:t>
      </w:r>
      <w:proofErr w:type="spellStart"/>
      <w:r w:rsidRPr="00B05417">
        <w:t>Nkhata</w:t>
      </w:r>
      <w:proofErr w:type="spellEnd"/>
      <w:r w:rsidRPr="00B05417">
        <w:t xml:space="preserve"> Bay, nearly 90% of which falls December to March, and elevation rises from 500m at the lakeshore to 1,700 m. To avoid underreporting we worked with local Malawian male interviewers from the area who employed snowball sampling and who worked separately. Upon arriving in a TA, they met with the traditional chief and assistants to make an initial list of CLS. Subjects were then visited in their homes, introduced to the aim of the study, the nature of the questions, and the means of withdrawal. The study design allowed for incidents to be recorded without pursuit of further details from affected subjects. Consent was verbal because of low levels of literacy, and documented through the subjects' agreement to answer a questionnaire on arrival at the household. In reported cases where the affected household had been abandoned after the strike and the family had left the area, details were taken from neighbors/witnesses where possible. Before leaving each household, interviewers asked for any known further cases, adding these to their list until no new cases were uncovered. The verbal consent process was approved by the Malawian authorities. No request for a waiver of the consent process was made to the UC Davis IRB committee (as explained below).</w:t>
      </w:r>
    </w:p>
    <w:p w14:paraId="169FA12C" w14:textId="77777777" w:rsidR="00B05417" w:rsidRPr="00B05417" w:rsidRDefault="00B05417" w:rsidP="00B05417">
      <w:bookmarkStart w:id="20" w:name="article1.body1.sec4.p3"/>
      <w:bookmarkEnd w:id="20"/>
      <w:r w:rsidRPr="00B05417">
        <w:t xml:space="preserve">Ethical approval was not requested from the University of California Davis, but full approval was attained from the district government office in Malawi. There are four reasons why approval from UCD was not requested – the study was requested by the Malawian authorities in </w:t>
      </w:r>
      <w:proofErr w:type="spellStart"/>
      <w:r w:rsidRPr="00B05417">
        <w:t>Nkhata</w:t>
      </w:r>
      <w:proofErr w:type="spellEnd"/>
      <w:r w:rsidRPr="00B05417">
        <w:t xml:space="preserve"> Bay, risks to subjects were judged to be minimal, data collected were entirely public, and strike victims and witnesses were identified through public knowledge annulling issues of anonymity. Research assistants were familiar with the etiquette of dealing with sensitive issues in Lakeside Tonga culture. They sought introductions to affected households from friends and </w:t>
      </w:r>
      <w:proofErr w:type="spellStart"/>
      <w:r w:rsidRPr="00B05417">
        <w:t>neighbours</w:t>
      </w:r>
      <w:proofErr w:type="spellEnd"/>
      <w:r w:rsidRPr="00B05417">
        <w:t xml:space="preserve"> and gave household members full assurance that interviews were voluntary and/or could be scheduled at another time; research assistants were also permitted to write up responses only </w:t>
      </w:r>
      <w:r w:rsidRPr="00B05417">
        <w:rPr>
          <w:i/>
          <w:iCs/>
        </w:rPr>
        <w:t>after</w:t>
      </w:r>
      <w:r w:rsidRPr="00B05417">
        <w:t xml:space="preserve"> leaving the household, in cases where subjects wished to talk informally about the event. These techniques served to minimize stress, increase trust, and (we believe) enhance the reliability of the data.</w:t>
      </w:r>
    </w:p>
    <w:p w14:paraId="04F6D92D" w14:textId="77777777" w:rsidR="00B05417" w:rsidRPr="00B05417" w:rsidRDefault="00B05417" w:rsidP="00B05417">
      <w:pPr>
        <w:rPr>
          <w:b/>
          <w:bCs/>
        </w:rPr>
      </w:pPr>
      <w:bookmarkStart w:id="21" w:name="ack"/>
      <w:bookmarkEnd w:id="21"/>
      <w:r w:rsidRPr="00B05417">
        <w:rPr>
          <w:b/>
          <w:bCs/>
        </w:rPr>
        <w:t>Acknowledgments</w:t>
      </w:r>
    </w:p>
    <w:p w14:paraId="01E9E32C" w14:textId="787D5D9F" w:rsidR="00FB0E07" w:rsidRDefault="00B05417" w:rsidP="00D73B87">
      <w:bookmarkStart w:id="22" w:name="article1.back1.ack1.p1"/>
      <w:bookmarkEnd w:id="22"/>
      <w:r w:rsidRPr="00B05417">
        <w:t xml:space="preserve">We thank </w:t>
      </w:r>
      <w:proofErr w:type="spellStart"/>
      <w:r w:rsidRPr="00B05417">
        <w:t>Nkhata</w:t>
      </w:r>
      <w:proofErr w:type="spellEnd"/>
      <w:r w:rsidRPr="00B05417">
        <w:t xml:space="preserve"> Bay District Government and its residents, Dr. George Banda and Ripple Africa for help, and Mary Ann Cooper and Ron Holle for discussion. All data were analyzed anonymously</w:t>
      </w:r>
    </w:p>
    <w:p w14:paraId="6E14D689" w14:textId="77777777" w:rsidR="00D73B87" w:rsidRDefault="00D73B87" w:rsidP="00D73B87">
      <w:pPr>
        <w:spacing w:after="0"/>
        <w:rPr>
          <w:b/>
          <w:bCs/>
        </w:rPr>
      </w:pPr>
    </w:p>
    <w:p w14:paraId="243A9DF4" w14:textId="10A6E7BC" w:rsidR="00D73B87" w:rsidRPr="00D73B87" w:rsidRDefault="00D73B87" w:rsidP="00D73B87">
      <w:pPr>
        <w:spacing w:after="0"/>
      </w:pPr>
      <w:bookmarkStart w:id="23" w:name="_GoBack"/>
      <w:bookmarkEnd w:id="23"/>
      <w:r w:rsidRPr="00D73B87">
        <w:rPr>
          <w:b/>
          <w:bCs/>
        </w:rPr>
        <w:t>Citation: </w:t>
      </w:r>
      <w:proofErr w:type="spellStart"/>
      <w:r w:rsidRPr="00D73B87">
        <w:t>Borgerhoff</w:t>
      </w:r>
      <w:proofErr w:type="spellEnd"/>
      <w:r w:rsidRPr="00D73B87">
        <w:t xml:space="preserve"> Mulder M, </w:t>
      </w:r>
      <w:proofErr w:type="spellStart"/>
      <w:r w:rsidRPr="00D73B87">
        <w:t>Msalu</w:t>
      </w:r>
      <w:proofErr w:type="spellEnd"/>
      <w:r w:rsidRPr="00D73B87">
        <w:t xml:space="preserve"> L, Caro T, Salerno J (2012) Remarkable Rates of Lightning Strike Mortality in Malawi. </w:t>
      </w:r>
      <w:proofErr w:type="spellStart"/>
      <w:r w:rsidRPr="00D73B87">
        <w:t>PLoS</w:t>
      </w:r>
      <w:proofErr w:type="spellEnd"/>
      <w:r w:rsidRPr="00D73B87">
        <w:t xml:space="preserve"> ONE 7(1): e29281. https://doi.org/10.1371/journal.pone.0029281</w:t>
      </w:r>
    </w:p>
    <w:p w14:paraId="77CA6C22" w14:textId="77777777" w:rsidR="00D73B87" w:rsidRPr="00D73B87" w:rsidRDefault="00D73B87" w:rsidP="00D73B87">
      <w:pPr>
        <w:spacing w:after="0"/>
      </w:pPr>
      <w:r w:rsidRPr="00D73B87">
        <w:rPr>
          <w:b/>
          <w:bCs/>
        </w:rPr>
        <w:t>Editor: </w:t>
      </w:r>
      <w:r w:rsidRPr="00D73B87">
        <w:t xml:space="preserve">Virginia J. </w:t>
      </w:r>
      <w:proofErr w:type="spellStart"/>
      <w:r w:rsidRPr="00D73B87">
        <w:t>Vitzthum</w:t>
      </w:r>
      <w:proofErr w:type="spellEnd"/>
      <w:r w:rsidRPr="00D73B87">
        <w:t>, Indiana University, United States of America</w:t>
      </w:r>
    </w:p>
    <w:p w14:paraId="2BA35408" w14:textId="77777777" w:rsidR="00D73B87" w:rsidRPr="00D73B87" w:rsidRDefault="00D73B87" w:rsidP="00D73B87">
      <w:pPr>
        <w:spacing w:after="0"/>
      </w:pPr>
      <w:r w:rsidRPr="00D73B87">
        <w:rPr>
          <w:b/>
          <w:bCs/>
        </w:rPr>
        <w:t>Received: </w:t>
      </w:r>
      <w:r w:rsidRPr="00D73B87">
        <w:t>September 7, 2011; </w:t>
      </w:r>
      <w:r w:rsidRPr="00D73B87">
        <w:rPr>
          <w:b/>
          <w:bCs/>
        </w:rPr>
        <w:t>Accepted: </w:t>
      </w:r>
      <w:r w:rsidRPr="00D73B87">
        <w:t>November 23, 2011; </w:t>
      </w:r>
      <w:r w:rsidRPr="00D73B87">
        <w:rPr>
          <w:b/>
          <w:bCs/>
        </w:rPr>
        <w:t>Published: </w:t>
      </w:r>
      <w:r w:rsidRPr="00D73B87">
        <w:t>January 9, 2012</w:t>
      </w:r>
    </w:p>
    <w:p w14:paraId="33DB7E2A" w14:textId="77777777" w:rsidR="00D73B87" w:rsidRPr="00D73B87" w:rsidRDefault="00D73B87" w:rsidP="00D73B87">
      <w:pPr>
        <w:spacing w:after="0"/>
      </w:pPr>
      <w:r w:rsidRPr="00D73B87">
        <w:rPr>
          <w:b/>
          <w:bCs/>
        </w:rPr>
        <w:t>Copyright: </w:t>
      </w:r>
      <w:r w:rsidRPr="00D73B87">
        <w:t xml:space="preserve">© 2012 </w:t>
      </w:r>
      <w:proofErr w:type="spellStart"/>
      <w:r w:rsidRPr="00D73B87">
        <w:t>Borgerhoff</w:t>
      </w:r>
      <w:proofErr w:type="spellEnd"/>
      <w:r w:rsidRPr="00D73B87">
        <w:t xml:space="preserve"> Mulder et al. This is an open-access article distributed under the terms of the Creative Commons Attribution License, which permits unrestricted use, distribution, and reproduction in any medium, provided the original author and source are credited.</w:t>
      </w:r>
    </w:p>
    <w:p w14:paraId="0683E123" w14:textId="77777777" w:rsidR="00D73B87" w:rsidRPr="00D73B87" w:rsidRDefault="00D73B87" w:rsidP="00D73B87">
      <w:pPr>
        <w:spacing w:after="0"/>
      </w:pPr>
      <w:r w:rsidRPr="00D73B87">
        <w:rPr>
          <w:b/>
          <w:bCs/>
        </w:rPr>
        <w:t>Funding: </w:t>
      </w:r>
      <w:r w:rsidRPr="00D73B87">
        <w:t>These authors have no support or funding to report.</w:t>
      </w:r>
    </w:p>
    <w:p w14:paraId="32D654E1" w14:textId="75A8066E" w:rsidR="00D73B87" w:rsidRDefault="00D73B87" w:rsidP="00D73B87">
      <w:pPr>
        <w:spacing w:after="0"/>
      </w:pPr>
      <w:r w:rsidRPr="00D73B87">
        <w:rPr>
          <w:b/>
          <w:bCs/>
        </w:rPr>
        <w:t>Competing interests: </w:t>
      </w:r>
      <w:r w:rsidRPr="00D73B87">
        <w:t>The authors have declared that no competing interests exist.</w:t>
      </w:r>
    </w:p>
    <w:sectPr w:rsidR="00D73B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151AD"/>
    <w:multiLevelType w:val="multilevel"/>
    <w:tmpl w:val="479EC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44FFA"/>
    <w:multiLevelType w:val="multilevel"/>
    <w:tmpl w:val="F7E24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D63BE"/>
    <w:multiLevelType w:val="multilevel"/>
    <w:tmpl w:val="52087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C71F07"/>
    <w:multiLevelType w:val="multilevel"/>
    <w:tmpl w:val="122C6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5B7FD3"/>
    <w:multiLevelType w:val="multilevel"/>
    <w:tmpl w:val="14F42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4C7EC2"/>
    <w:multiLevelType w:val="multilevel"/>
    <w:tmpl w:val="5FCEC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D44873"/>
    <w:multiLevelType w:val="multilevel"/>
    <w:tmpl w:val="6C5EE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34001C"/>
    <w:multiLevelType w:val="multilevel"/>
    <w:tmpl w:val="D09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470F24"/>
    <w:multiLevelType w:val="multilevel"/>
    <w:tmpl w:val="1C96E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1514B4"/>
    <w:multiLevelType w:val="multilevel"/>
    <w:tmpl w:val="CF4E5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4"/>
  </w:num>
  <w:num w:numId="4">
    <w:abstractNumId w:val="0"/>
  </w:num>
  <w:num w:numId="5">
    <w:abstractNumId w:val="1"/>
  </w:num>
  <w:num w:numId="6">
    <w:abstractNumId w:val="5"/>
  </w:num>
  <w:num w:numId="7">
    <w:abstractNumId w:val="7"/>
  </w:num>
  <w:num w:numId="8">
    <w:abstractNumId w:val="6"/>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417"/>
    <w:rsid w:val="000005FA"/>
    <w:rsid w:val="009003E9"/>
    <w:rsid w:val="00954413"/>
    <w:rsid w:val="00AC04ED"/>
    <w:rsid w:val="00B05417"/>
    <w:rsid w:val="00D73B87"/>
    <w:rsid w:val="00F17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0463C"/>
  <w15:chartTrackingRefBased/>
  <w15:docId w15:val="{DA509228-E0E5-4E4D-87FE-7ACEE8493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5417"/>
    <w:rPr>
      <w:color w:val="0563C1" w:themeColor="hyperlink"/>
      <w:u w:val="single"/>
    </w:rPr>
  </w:style>
  <w:style w:type="character" w:styleId="UnresolvedMention">
    <w:name w:val="Unresolved Mention"/>
    <w:basedOn w:val="DefaultParagraphFont"/>
    <w:uiPriority w:val="99"/>
    <w:semiHidden/>
    <w:unhideWhenUsed/>
    <w:rsid w:val="00B0541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2814661">
      <w:bodyDiv w:val="1"/>
      <w:marLeft w:val="0"/>
      <w:marRight w:val="0"/>
      <w:marTop w:val="0"/>
      <w:marBottom w:val="0"/>
      <w:divBdr>
        <w:top w:val="none" w:sz="0" w:space="0" w:color="auto"/>
        <w:left w:val="none" w:sz="0" w:space="0" w:color="auto"/>
        <w:bottom w:val="none" w:sz="0" w:space="0" w:color="auto"/>
        <w:right w:val="none" w:sz="0" w:space="0" w:color="auto"/>
      </w:divBdr>
      <w:divsChild>
        <w:div w:id="1611204888">
          <w:marLeft w:val="0"/>
          <w:marRight w:val="0"/>
          <w:marTop w:val="0"/>
          <w:marBottom w:val="0"/>
          <w:divBdr>
            <w:top w:val="none" w:sz="0" w:space="0" w:color="auto"/>
            <w:left w:val="none" w:sz="0" w:space="0" w:color="auto"/>
            <w:bottom w:val="none" w:sz="0" w:space="0" w:color="auto"/>
            <w:right w:val="none" w:sz="0" w:space="0" w:color="auto"/>
          </w:divBdr>
          <w:divsChild>
            <w:div w:id="2103916016">
              <w:marLeft w:val="0"/>
              <w:marRight w:val="0"/>
              <w:marTop w:val="0"/>
              <w:marBottom w:val="0"/>
              <w:divBdr>
                <w:top w:val="none" w:sz="0" w:space="0" w:color="auto"/>
                <w:left w:val="none" w:sz="0" w:space="0" w:color="auto"/>
                <w:bottom w:val="none" w:sz="0" w:space="0" w:color="auto"/>
                <w:right w:val="none" w:sz="0" w:space="0" w:color="auto"/>
              </w:divBdr>
              <w:divsChild>
                <w:div w:id="137862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669117">
          <w:marLeft w:val="0"/>
          <w:marRight w:val="0"/>
          <w:marTop w:val="0"/>
          <w:marBottom w:val="0"/>
          <w:divBdr>
            <w:top w:val="none" w:sz="0" w:space="0" w:color="auto"/>
            <w:left w:val="none" w:sz="0" w:space="0" w:color="auto"/>
            <w:bottom w:val="none" w:sz="0" w:space="0" w:color="auto"/>
            <w:right w:val="none" w:sz="0" w:space="0" w:color="auto"/>
          </w:divBdr>
          <w:divsChild>
            <w:div w:id="311981820">
              <w:marLeft w:val="0"/>
              <w:marRight w:val="0"/>
              <w:marTop w:val="0"/>
              <w:marBottom w:val="0"/>
              <w:divBdr>
                <w:top w:val="none" w:sz="0" w:space="0" w:color="auto"/>
                <w:left w:val="none" w:sz="0" w:space="0" w:color="auto"/>
                <w:bottom w:val="none" w:sz="0" w:space="0" w:color="auto"/>
                <w:right w:val="none" w:sz="0" w:space="0" w:color="auto"/>
              </w:divBdr>
            </w:div>
            <w:div w:id="49429189">
              <w:marLeft w:val="0"/>
              <w:marRight w:val="0"/>
              <w:marTop w:val="0"/>
              <w:marBottom w:val="0"/>
              <w:divBdr>
                <w:top w:val="none" w:sz="0" w:space="0" w:color="auto"/>
                <w:left w:val="none" w:sz="0" w:space="0" w:color="auto"/>
                <w:bottom w:val="none" w:sz="0" w:space="0" w:color="auto"/>
                <w:right w:val="none" w:sz="0" w:space="0" w:color="auto"/>
              </w:divBdr>
              <w:divsChild>
                <w:div w:id="1507474246">
                  <w:marLeft w:val="0"/>
                  <w:marRight w:val="0"/>
                  <w:marTop w:val="0"/>
                  <w:marBottom w:val="0"/>
                  <w:divBdr>
                    <w:top w:val="none" w:sz="0" w:space="0" w:color="auto"/>
                    <w:left w:val="none" w:sz="0" w:space="0" w:color="auto"/>
                    <w:bottom w:val="none" w:sz="0" w:space="0" w:color="auto"/>
                    <w:right w:val="none" w:sz="0" w:space="0" w:color="auto"/>
                  </w:divBdr>
                  <w:divsChild>
                    <w:div w:id="753669580">
                      <w:marLeft w:val="0"/>
                      <w:marRight w:val="0"/>
                      <w:marTop w:val="0"/>
                      <w:marBottom w:val="0"/>
                      <w:divBdr>
                        <w:top w:val="none" w:sz="0" w:space="0" w:color="auto"/>
                        <w:left w:val="none" w:sz="0" w:space="0" w:color="auto"/>
                        <w:bottom w:val="none" w:sz="0" w:space="0" w:color="auto"/>
                        <w:right w:val="none" w:sz="0" w:space="0" w:color="auto"/>
                      </w:divBdr>
                    </w:div>
                    <w:div w:id="128431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594158">
          <w:marLeft w:val="0"/>
          <w:marRight w:val="0"/>
          <w:marTop w:val="0"/>
          <w:marBottom w:val="0"/>
          <w:divBdr>
            <w:top w:val="none" w:sz="0" w:space="0" w:color="auto"/>
            <w:left w:val="none" w:sz="0" w:space="0" w:color="auto"/>
            <w:bottom w:val="none" w:sz="0" w:space="0" w:color="auto"/>
            <w:right w:val="none" w:sz="0" w:space="0" w:color="auto"/>
          </w:divBdr>
          <w:divsChild>
            <w:div w:id="869221287">
              <w:marLeft w:val="0"/>
              <w:marRight w:val="0"/>
              <w:marTop w:val="0"/>
              <w:marBottom w:val="0"/>
              <w:divBdr>
                <w:top w:val="none" w:sz="0" w:space="0" w:color="auto"/>
                <w:left w:val="none" w:sz="0" w:space="0" w:color="auto"/>
                <w:bottom w:val="none" w:sz="0" w:space="0" w:color="auto"/>
                <w:right w:val="none" w:sz="0" w:space="0" w:color="auto"/>
              </w:divBdr>
            </w:div>
            <w:div w:id="1444568273">
              <w:marLeft w:val="0"/>
              <w:marRight w:val="0"/>
              <w:marTop w:val="0"/>
              <w:marBottom w:val="0"/>
              <w:divBdr>
                <w:top w:val="none" w:sz="0" w:space="0" w:color="auto"/>
                <w:left w:val="none" w:sz="0" w:space="0" w:color="auto"/>
                <w:bottom w:val="none" w:sz="0" w:space="0" w:color="auto"/>
                <w:right w:val="none" w:sz="0" w:space="0" w:color="auto"/>
              </w:divBdr>
              <w:divsChild>
                <w:div w:id="47607157">
                  <w:marLeft w:val="0"/>
                  <w:marRight w:val="0"/>
                  <w:marTop w:val="0"/>
                  <w:marBottom w:val="0"/>
                  <w:divBdr>
                    <w:top w:val="none" w:sz="0" w:space="0" w:color="auto"/>
                    <w:left w:val="none" w:sz="0" w:space="0" w:color="auto"/>
                    <w:bottom w:val="none" w:sz="0" w:space="0" w:color="auto"/>
                    <w:right w:val="none" w:sz="0" w:space="0" w:color="auto"/>
                  </w:divBdr>
                  <w:divsChild>
                    <w:div w:id="58947264">
                      <w:marLeft w:val="0"/>
                      <w:marRight w:val="0"/>
                      <w:marTop w:val="0"/>
                      <w:marBottom w:val="0"/>
                      <w:divBdr>
                        <w:top w:val="none" w:sz="0" w:space="0" w:color="auto"/>
                        <w:left w:val="none" w:sz="0" w:space="0" w:color="auto"/>
                        <w:bottom w:val="none" w:sz="0" w:space="0" w:color="auto"/>
                        <w:right w:val="none" w:sz="0" w:space="0" w:color="auto"/>
                      </w:divBdr>
                    </w:div>
                    <w:div w:id="478963361">
                      <w:marLeft w:val="0"/>
                      <w:marRight w:val="0"/>
                      <w:marTop w:val="0"/>
                      <w:marBottom w:val="0"/>
                      <w:divBdr>
                        <w:top w:val="none" w:sz="0" w:space="0" w:color="auto"/>
                        <w:left w:val="none" w:sz="0" w:space="0" w:color="auto"/>
                        <w:bottom w:val="none" w:sz="0" w:space="0" w:color="auto"/>
                        <w:right w:val="none" w:sz="0" w:space="0" w:color="auto"/>
                      </w:divBdr>
                      <w:divsChild>
                        <w:div w:id="901334645">
                          <w:marLeft w:val="0"/>
                          <w:marRight w:val="0"/>
                          <w:marTop w:val="0"/>
                          <w:marBottom w:val="0"/>
                          <w:divBdr>
                            <w:top w:val="none" w:sz="0" w:space="0" w:color="auto"/>
                            <w:left w:val="none" w:sz="0" w:space="0" w:color="auto"/>
                            <w:bottom w:val="none" w:sz="0" w:space="0" w:color="auto"/>
                            <w:right w:val="none" w:sz="0" w:space="0" w:color="auto"/>
                          </w:divBdr>
                          <w:divsChild>
                            <w:div w:id="11497004">
                              <w:marLeft w:val="0"/>
                              <w:marRight w:val="0"/>
                              <w:marTop w:val="0"/>
                              <w:marBottom w:val="0"/>
                              <w:divBdr>
                                <w:top w:val="none" w:sz="0" w:space="0" w:color="auto"/>
                                <w:left w:val="none" w:sz="0" w:space="0" w:color="auto"/>
                                <w:bottom w:val="none" w:sz="0" w:space="0" w:color="auto"/>
                                <w:right w:val="none" w:sz="0" w:space="0" w:color="auto"/>
                              </w:divBdr>
                              <w:divsChild>
                                <w:div w:id="1423725600">
                                  <w:marLeft w:val="0"/>
                                  <w:marRight w:val="0"/>
                                  <w:marTop w:val="0"/>
                                  <w:marBottom w:val="0"/>
                                  <w:divBdr>
                                    <w:top w:val="none" w:sz="0" w:space="0" w:color="auto"/>
                                    <w:left w:val="none" w:sz="0" w:space="0" w:color="auto"/>
                                    <w:bottom w:val="none" w:sz="0" w:space="0" w:color="auto"/>
                                    <w:right w:val="none" w:sz="0" w:space="0" w:color="auto"/>
                                  </w:divBdr>
                                  <w:divsChild>
                                    <w:div w:id="1203637675">
                                      <w:marLeft w:val="0"/>
                                      <w:marRight w:val="0"/>
                                      <w:marTop w:val="0"/>
                                      <w:marBottom w:val="0"/>
                                      <w:divBdr>
                                        <w:top w:val="none" w:sz="0" w:space="0" w:color="auto"/>
                                        <w:left w:val="none" w:sz="0" w:space="0" w:color="auto"/>
                                        <w:bottom w:val="none" w:sz="0" w:space="0" w:color="auto"/>
                                        <w:right w:val="none" w:sz="0" w:space="0" w:color="auto"/>
                                      </w:divBdr>
                                    </w:div>
                                    <w:div w:id="1684017478">
                                      <w:marLeft w:val="0"/>
                                      <w:marRight w:val="0"/>
                                      <w:marTop w:val="0"/>
                                      <w:marBottom w:val="0"/>
                                      <w:divBdr>
                                        <w:top w:val="none" w:sz="0" w:space="0" w:color="auto"/>
                                        <w:left w:val="none" w:sz="0" w:space="0" w:color="auto"/>
                                        <w:bottom w:val="none" w:sz="0" w:space="0" w:color="auto"/>
                                        <w:right w:val="none" w:sz="0" w:space="0" w:color="auto"/>
                                      </w:divBdr>
                                    </w:div>
                                    <w:div w:id="723454169">
                                      <w:marLeft w:val="0"/>
                                      <w:marRight w:val="0"/>
                                      <w:marTop w:val="0"/>
                                      <w:marBottom w:val="0"/>
                                      <w:divBdr>
                                        <w:top w:val="none" w:sz="0" w:space="0" w:color="auto"/>
                                        <w:left w:val="none" w:sz="0" w:space="0" w:color="auto"/>
                                        <w:bottom w:val="none" w:sz="0" w:space="0" w:color="auto"/>
                                        <w:right w:val="none" w:sz="0" w:space="0" w:color="auto"/>
                                      </w:divBdr>
                                    </w:div>
                                    <w:div w:id="1723403346">
                                      <w:marLeft w:val="0"/>
                                      <w:marRight w:val="0"/>
                                      <w:marTop w:val="0"/>
                                      <w:marBottom w:val="0"/>
                                      <w:divBdr>
                                        <w:top w:val="none" w:sz="0" w:space="0" w:color="auto"/>
                                        <w:left w:val="none" w:sz="0" w:space="0" w:color="auto"/>
                                        <w:bottom w:val="none" w:sz="0" w:space="0" w:color="auto"/>
                                        <w:right w:val="none" w:sz="0" w:space="0" w:color="auto"/>
                                      </w:divBdr>
                                    </w:div>
                                    <w:div w:id="971785976">
                                      <w:marLeft w:val="0"/>
                                      <w:marRight w:val="0"/>
                                      <w:marTop w:val="0"/>
                                      <w:marBottom w:val="0"/>
                                      <w:divBdr>
                                        <w:top w:val="none" w:sz="0" w:space="0" w:color="auto"/>
                                        <w:left w:val="none" w:sz="0" w:space="0" w:color="auto"/>
                                        <w:bottom w:val="none" w:sz="0" w:space="0" w:color="auto"/>
                                        <w:right w:val="none" w:sz="0" w:space="0" w:color="auto"/>
                                      </w:divBdr>
                                    </w:div>
                                    <w:div w:id="91759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534795">
                      <w:marLeft w:val="0"/>
                      <w:marRight w:val="0"/>
                      <w:marTop w:val="0"/>
                      <w:marBottom w:val="0"/>
                      <w:divBdr>
                        <w:top w:val="none" w:sz="0" w:space="0" w:color="auto"/>
                        <w:left w:val="none" w:sz="0" w:space="0" w:color="auto"/>
                        <w:bottom w:val="none" w:sz="0" w:space="0" w:color="auto"/>
                        <w:right w:val="none" w:sz="0" w:space="0" w:color="auto"/>
                      </w:divBdr>
                    </w:div>
                    <w:div w:id="133104881">
                      <w:marLeft w:val="0"/>
                      <w:marRight w:val="0"/>
                      <w:marTop w:val="0"/>
                      <w:marBottom w:val="0"/>
                      <w:divBdr>
                        <w:top w:val="none" w:sz="0" w:space="0" w:color="auto"/>
                        <w:left w:val="none" w:sz="0" w:space="0" w:color="auto"/>
                        <w:bottom w:val="none" w:sz="0" w:space="0" w:color="auto"/>
                        <w:right w:val="none" w:sz="0" w:space="0" w:color="auto"/>
                      </w:divBdr>
                    </w:div>
                    <w:div w:id="529992545">
                      <w:marLeft w:val="0"/>
                      <w:marRight w:val="0"/>
                      <w:marTop w:val="0"/>
                      <w:marBottom w:val="0"/>
                      <w:divBdr>
                        <w:top w:val="none" w:sz="0" w:space="0" w:color="auto"/>
                        <w:left w:val="none" w:sz="0" w:space="0" w:color="auto"/>
                        <w:bottom w:val="none" w:sz="0" w:space="0" w:color="auto"/>
                        <w:right w:val="none" w:sz="0" w:space="0" w:color="auto"/>
                      </w:divBdr>
                      <w:divsChild>
                        <w:div w:id="1496647698">
                          <w:marLeft w:val="0"/>
                          <w:marRight w:val="0"/>
                          <w:marTop w:val="0"/>
                          <w:marBottom w:val="0"/>
                          <w:divBdr>
                            <w:top w:val="none" w:sz="0" w:space="0" w:color="auto"/>
                            <w:left w:val="none" w:sz="0" w:space="0" w:color="auto"/>
                            <w:bottom w:val="none" w:sz="0" w:space="0" w:color="auto"/>
                            <w:right w:val="none" w:sz="0" w:space="0" w:color="auto"/>
                          </w:divBdr>
                          <w:divsChild>
                            <w:div w:id="563029173">
                              <w:marLeft w:val="0"/>
                              <w:marRight w:val="0"/>
                              <w:marTop w:val="0"/>
                              <w:marBottom w:val="0"/>
                              <w:divBdr>
                                <w:top w:val="none" w:sz="0" w:space="0" w:color="auto"/>
                                <w:left w:val="none" w:sz="0" w:space="0" w:color="auto"/>
                                <w:bottom w:val="none" w:sz="0" w:space="0" w:color="auto"/>
                                <w:right w:val="none" w:sz="0" w:space="0" w:color="auto"/>
                              </w:divBdr>
                            </w:div>
                            <w:div w:id="426580812">
                              <w:marLeft w:val="0"/>
                              <w:marRight w:val="0"/>
                              <w:marTop w:val="0"/>
                              <w:marBottom w:val="0"/>
                              <w:divBdr>
                                <w:top w:val="none" w:sz="0" w:space="0" w:color="auto"/>
                                <w:left w:val="none" w:sz="0" w:space="0" w:color="auto"/>
                                <w:bottom w:val="none" w:sz="0" w:space="0" w:color="auto"/>
                                <w:right w:val="none" w:sz="0" w:space="0" w:color="auto"/>
                              </w:divBdr>
                              <w:divsChild>
                                <w:div w:id="74940013">
                                  <w:marLeft w:val="0"/>
                                  <w:marRight w:val="0"/>
                                  <w:marTop w:val="0"/>
                                  <w:marBottom w:val="0"/>
                                  <w:divBdr>
                                    <w:top w:val="none" w:sz="0" w:space="0" w:color="auto"/>
                                    <w:left w:val="none" w:sz="0" w:space="0" w:color="auto"/>
                                    <w:bottom w:val="none" w:sz="0" w:space="0" w:color="auto"/>
                                    <w:right w:val="none" w:sz="0" w:space="0" w:color="auto"/>
                                  </w:divBdr>
                                </w:div>
                                <w:div w:id="1474519566">
                                  <w:marLeft w:val="0"/>
                                  <w:marRight w:val="0"/>
                                  <w:marTop w:val="0"/>
                                  <w:marBottom w:val="0"/>
                                  <w:divBdr>
                                    <w:top w:val="none" w:sz="0" w:space="0" w:color="auto"/>
                                    <w:left w:val="none" w:sz="0" w:space="0" w:color="auto"/>
                                    <w:bottom w:val="none" w:sz="0" w:space="0" w:color="auto"/>
                                    <w:right w:val="none" w:sz="0" w:space="0" w:color="auto"/>
                                  </w:divBdr>
                                </w:div>
                                <w:div w:id="1288656155">
                                  <w:marLeft w:val="0"/>
                                  <w:marRight w:val="0"/>
                                  <w:marTop w:val="0"/>
                                  <w:marBottom w:val="0"/>
                                  <w:divBdr>
                                    <w:top w:val="none" w:sz="0" w:space="0" w:color="auto"/>
                                    <w:left w:val="none" w:sz="0" w:space="0" w:color="auto"/>
                                    <w:bottom w:val="none" w:sz="0" w:space="0" w:color="auto"/>
                                    <w:right w:val="none" w:sz="0" w:space="0" w:color="auto"/>
                                  </w:divBdr>
                                </w:div>
                              </w:divsChild>
                            </w:div>
                            <w:div w:id="111817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049730">
                      <w:marLeft w:val="0"/>
                      <w:marRight w:val="0"/>
                      <w:marTop w:val="0"/>
                      <w:marBottom w:val="0"/>
                      <w:divBdr>
                        <w:top w:val="none" w:sz="0" w:space="0" w:color="auto"/>
                        <w:left w:val="none" w:sz="0" w:space="0" w:color="auto"/>
                        <w:bottom w:val="none" w:sz="0" w:space="0" w:color="auto"/>
                        <w:right w:val="none" w:sz="0" w:space="0" w:color="auto"/>
                      </w:divBdr>
                      <w:divsChild>
                        <w:div w:id="1082528131">
                          <w:marLeft w:val="0"/>
                          <w:marRight w:val="0"/>
                          <w:marTop w:val="0"/>
                          <w:marBottom w:val="0"/>
                          <w:divBdr>
                            <w:top w:val="none" w:sz="0" w:space="0" w:color="auto"/>
                            <w:left w:val="none" w:sz="0" w:space="0" w:color="auto"/>
                            <w:bottom w:val="none" w:sz="0" w:space="0" w:color="auto"/>
                            <w:right w:val="none" w:sz="0" w:space="0" w:color="auto"/>
                          </w:divBdr>
                          <w:divsChild>
                            <w:div w:id="580678666">
                              <w:marLeft w:val="0"/>
                              <w:marRight w:val="0"/>
                              <w:marTop w:val="0"/>
                              <w:marBottom w:val="0"/>
                              <w:divBdr>
                                <w:top w:val="none" w:sz="0" w:space="0" w:color="auto"/>
                                <w:left w:val="none" w:sz="0" w:space="0" w:color="auto"/>
                                <w:bottom w:val="none" w:sz="0" w:space="0" w:color="auto"/>
                                <w:right w:val="none" w:sz="0" w:space="0" w:color="auto"/>
                              </w:divBdr>
                            </w:div>
                            <w:div w:id="1588076592">
                              <w:marLeft w:val="0"/>
                              <w:marRight w:val="0"/>
                              <w:marTop w:val="0"/>
                              <w:marBottom w:val="0"/>
                              <w:divBdr>
                                <w:top w:val="none" w:sz="0" w:space="0" w:color="auto"/>
                                <w:left w:val="none" w:sz="0" w:space="0" w:color="auto"/>
                                <w:bottom w:val="none" w:sz="0" w:space="0" w:color="auto"/>
                                <w:right w:val="none" w:sz="0" w:space="0" w:color="auto"/>
                              </w:divBdr>
                              <w:divsChild>
                                <w:div w:id="1509834387">
                                  <w:marLeft w:val="0"/>
                                  <w:marRight w:val="0"/>
                                  <w:marTop w:val="0"/>
                                  <w:marBottom w:val="0"/>
                                  <w:divBdr>
                                    <w:top w:val="none" w:sz="0" w:space="0" w:color="auto"/>
                                    <w:left w:val="none" w:sz="0" w:space="0" w:color="auto"/>
                                    <w:bottom w:val="none" w:sz="0" w:space="0" w:color="auto"/>
                                    <w:right w:val="none" w:sz="0" w:space="0" w:color="auto"/>
                                  </w:divBdr>
                                </w:div>
                                <w:div w:id="950556325">
                                  <w:marLeft w:val="0"/>
                                  <w:marRight w:val="0"/>
                                  <w:marTop w:val="0"/>
                                  <w:marBottom w:val="0"/>
                                  <w:divBdr>
                                    <w:top w:val="none" w:sz="0" w:space="0" w:color="auto"/>
                                    <w:left w:val="none" w:sz="0" w:space="0" w:color="auto"/>
                                    <w:bottom w:val="none" w:sz="0" w:space="0" w:color="auto"/>
                                    <w:right w:val="none" w:sz="0" w:space="0" w:color="auto"/>
                                  </w:divBdr>
                                </w:div>
                                <w:div w:id="546725316">
                                  <w:marLeft w:val="0"/>
                                  <w:marRight w:val="0"/>
                                  <w:marTop w:val="0"/>
                                  <w:marBottom w:val="0"/>
                                  <w:divBdr>
                                    <w:top w:val="none" w:sz="0" w:space="0" w:color="auto"/>
                                    <w:left w:val="none" w:sz="0" w:space="0" w:color="auto"/>
                                    <w:bottom w:val="none" w:sz="0" w:space="0" w:color="auto"/>
                                    <w:right w:val="none" w:sz="0" w:space="0" w:color="auto"/>
                                  </w:divBdr>
                                </w:div>
                              </w:divsChild>
                            </w:div>
                            <w:div w:id="157970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45939">
                      <w:marLeft w:val="0"/>
                      <w:marRight w:val="0"/>
                      <w:marTop w:val="0"/>
                      <w:marBottom w:val="0"/>
                      <w:divBdr>
                        <w:top w:val="none" w:sz="0" w:space="0" w:color="auto"/>
                        <w:left w:val="none" w:sz="0" w:space="0" w:color="auto"/>
                        <w:bottom w:val="none" w:sz="0" w:space="0" w:color="auto"/>
                        <w:right w:val="none" w:sz="0" w:space="0" w:color="auto"/>
                      </w:divBdr>
                    </w:div>
                    <w:div w:id="169753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790940">
      <w:bodyDiv w:val="1"/>
      <w:marLeft w:val="0"/>
      <w:marRight w:val="0"/>
      <w:marTop w:val="0"/>
      <w:marBottom w:val="0"/>
      <w:divBdr>
        <w:top w:val="none" w:sz="0" w:space="0" w:color="auto"/>
        <w:left w:val="none" w:sz="0" w:space="0" w:color="auto"/>
        <w:bottom w:val="none" w:sz="0" w:space="0" w:color="auto"/>
        <w:right w:val="none" w:sz="0" w:space="0" w:color="auto"/>
      </w:divBdr>
    </w:div>
    <w:div w:id="1447505728">
      <w:bodyDiv w:val="1"/>
      <w:marLeft w:val="0"/>
      <w:marRight w:val="0"/>
      <w:marTop w:val="0"/>
      <w:marBottom w:val="0"/>
      <w:divBdr>
        <w:top w:val="none" w:sz="0" w:space="0" w:color="auto"/>
        <w:left w:val="none" w:sz="0" w:space="0" w:color="auto"/>
        <w:bottom w:val="none" w:sz="0" w:space="0" w:color="auto"/>
        <w:right w:val="none" w:sz="0" w:space="0" w:color="auto"/>
      </w:divBdr>
    </w:div>
    <w:div w:id="169653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i.org/10.1371/journal.pone.0029281.g0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371/journal.pone.0029281" TargetMode="External"/><Relationship Id="rId11" Type="http://schemas.openxmlformats.org/officeDocument/2006/relationships/hyperlink" Target="http://journals.plos.org/plosone/article/figure/image?size=medium&amp;id=info:doi/10.1371/journal.pone.0029281.g002" TargetMode="External"/><Relationship Id="rId5" Type="http://schemas.openxmlformats.org/officeDocument/2006/relationships/hyperlink" Target="http://journals.plos.org/plosone/article?id=10.1371/journal.pone.0029281" TargetMode="External"/><Relationship Id="rId10" Type="http://schemas.openxmlformats.org/officeDocument/2006/relationships/hyperlink" Target="https://doi.org/10.1371/journal.pone.0029281.g001" TargetMode="External"/><Relationship Id="rId4" Type="http://schemas.openxmlformats.org/officeDocument/2006/relationships/webSettings" Target="webSettings.xml"/><Relationship Id="rId9" Type="http://schemas.openxmlformats.org/officeDocument/2006/relationships/hyperlink" Target="http://journals.plos.org/plosone/article/figure/image?size=medium&amp;id=info:doi/10.1371/journal.pone.0029281.g00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2178</Words>
  <Characters>12418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ACLEnet</dc:creator>
  <cp:keywords/>
  <dc:description/>
  <cp:lastModifiedBy>Cooper, Mary Ann</cp:lastModifiedBy>
  <cp:revision>2</cp:revision>
  <dcterms:created xsi:type="dcterms:W3CDTF">2018-03-30T22:53:00Z</dcterms:created>
  <dcterms:modified xsi:type="dcterms:W3CDTF">2018-03-30T22:53:00Z</dcterms:modified>
</cp:coreProperties>
</file>